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A8" w:rsidRDefault="003477A8" w:rsidP="00766B96">
      <w:pPr>
        <w:spacing w:after="0"/>
      </w:pPr>
    </w:p>
    <w:p w:rsidR="00843C0F" w:rsidRPr="00843C0F" w:rsidRDefault="00843C0F" w:rsidP="00843C0F">
      <w:pPr>
        <w:rPr>
          <w:rFonts w:ascii="Tele-GroteskNor" w:eastAsiaTheme="majorEastAsia" w:hAnsi="Tele-GroteskNor" w:cstheme="majorBidi"/>
          <w:bCs/>
          <w:color w:val="E20074"/>
          <w:sz w:val="36"/>
          <w:szCs w:val="36"/>
        </w:rPr>
      </w:pPr>
      <w:r w:rsidRPr="00843C0F">
        <w:rPr>
          <w:rFonts w:ascii="Tele-GroteskNor" w:eastAsiaTheme="majorEastAsia" w:hAnsi="Tele-GroteskNor" w:cstheme="majorBidi"/>
          <w:bCs/>
          <w:color w:val="E20074"/>
          <w:sz w:val="36"/>
          <w:szCs w:val="36"/>
        </w:rPr>
        <w:t>SPE</w:t>
      </w:r>
      <w:r w:rsidR="003D4A55">
        <w:rPr>
          <w:rFonts w:ascii="Tele-GroteskNor" w:eastAsiaTheme="majorEastAsia" w:hAnsi="Tele-GroteskNor" w:cstheme="majorBidi"/>
          <w:bCs/>
          <w:color w:val="E20074"/>
          <w:sz w:val="36"/>
          <w:szCs w:val="36"/>
        </w:rPr>
        <w:t>CIFIKACIJA</w:t>
      </w:r>
      <w:r w:rsidR="00B35EB8">
        <w:rPr>
          <w:rFonts w:ascii="Tele-GroteskNor" w:eastAsiaTheme="majorEastAsia" w:hAnsi="Tele-GroteskNor" w:cstheme="majorBidi"/>
          <w:bCs/>
          <w:color w:val="E20074"/>
          <w:sz w:val="36"/>
          <w:szCs w:val="36"/>
        </w:rPr>
        <w:t xml:space="preserve"> USLUGE </w:t>
      </w:r>
      <w:proofErr w:type="spellStart"/>
      <w:r w:rsidR="00B35EB8">
        <w:rPr>
          <w:rFonts w:ascii="Tele-GroteskNor" w:eastAsiaTheme="majorEastAsia" w:hAnsi="Tele-GroteskNor" w:cstheme="majorBidi"/>
          <w:bCs/>
          <w:color w:val="E20074"/>
          <w:sz w:val="36"/>
          <w:szCs w:val="36"/>
        </w:rPr>
        <w:t>mDoplata</w:t>
      </w:r>
      <w:proofErr w:type="spellEnd"/>
    </w:p>
    <w:p w:rsidR="00843C0F" w:rsidRPr="00843C0F" w:rsidRDefault="00843C0F" w:rsidP="005754E2">
      <w:pPr>
        <w:spacing w:after="0"/>
      </w:pPr>
    </w:p>
    <w:p w:rsidR="00843C0F" w:rsidRPr="00843C0F" w:rsidRDefault="00843C0F" w:rsidP="00843C0F">
      <w:pPr>
        <w:numPr>
          <w:ilvl w:val="0"/>
          <w:numId w:val="2"/>
        </w:numPr>
        <w:rPr>
          <w:rFonts w:ascii="Tele-GroteskNor" w:eastAsiaTheme="majorEastAsia" w:hAnsi="Tele-GroteskNor" w:cstheme="majorBidi"/>
          <w:bCs/>
          <w:color w:val="E20074"/>
          <w:sz w:val="28"/>
          <w:szCs w:val="28"/>
        </w:rPr>
      </w:pPr>
      <w:r w:rsidRPr="00843C0F">
        <w:rPr>
          <w:rFonts w:ascii="Tele-GroteskNor" w:eastAsiaTheme="majorEastAsia" w:hAnsi="Tele-GroteskNor" w:cstheme="majorBidi"/>
          <w:bCs/>
          <w:color w:val="E20074"/>
          <w:sz w:val="28"/>
          <w:szCs w:val="28"/>
        </w:rPr>
        <w:t xml:space="preserve">Općenito </w:t>
      </w:r>
    </w:p>
    <w:p w:rsidR="00843C0F" w:rsidRDefault="00B35EB8" w:rsidP="00F4516F">
      <w:pPr>
        <w:spacing w:after="360"/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</w:pPr>
      <w:proofErr w:type="spellStart"/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mDoplata</w:t>
      </w:r>
      <w:proofErr w:type="spellEnd"/>
      <w:r w:rsidR="00843C0F" w:rsidRPr="00843C0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je usluga </w:t>
      </w:r>
      <w:r w:rsidR="00BE2280">
        <w:rPr>
          <w:rFonts w:ascii="Tele-GroteskNor" w:eastAsia="Times New Roman" w:hAnsi="Tele-GroteskNor" w:cs="Tele-GroteskEENor"/>
          <w:color w:val="000000"/>
        </w:rPr>
        <w:t xml:space="preserve">kojom </w:t>
      </w:r>
      <w:r w:rsidR="00CD7A37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Hrvatski Telekom d.d., </w:t>
      </w:r>
      <w:r w:rsidR="00CD7A37" w:rsidRPr="00212CF3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Roberta Frangeša Mihanovića 9, 10 000 Zagreb, OIB: 81793146560 (MB: 14</w:t>
      </w:r>
      <w:r w:rsidR="00CD7A37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14887) (dalje: HT) kao obveznik</w:t>
      </w:r>
      <w:r w:rsidR="00CD7A37" w:rsidRPr="00212CF3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primjene Zakona o elektroničkom novcu </w:t>
      </w:r>
      <w:r w:rsidR="000A0DC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              </w:t>
      </w:r>
      <w:r w:rsidR="00CD7A37" w:rsidRPr="00212CF3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(NN 64/2018) i Zakona o platnom prometu (NN 66/2018) </w:t>
      </w:r>
      <w:r w:rsidR="00CD7A37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(dalje: HT) omogućava svojim korisnicima </w:t>
      </w:r>
      <w:bookmarkStart w:id="0" w:name="_Hlk13558335"/>
      <w:r w:rsidR="006D76BA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nadoplatu</w:t>
      </w:r>
      <w:r w:rsidR="00D63927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</w:t>
      </w: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virtualnog</w:t>
      </w:r>
      <w:r w:rsidR="00F4516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online</w:t>
      </w: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računa </w:t>
      </w:r>
      <w:r w:rsidR="00F1675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korisnika </w:t>
      </w: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otvorenog </w:t>
      </w:r>
      <w:bookmarkEnd w:id="0"/>
      <w:r w:rsidR="00F4516F" w:rsidRPr="00F4516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kod društava priređivača igara klađenja u Republici Hrvatskoj.</w:t>
      </w:r>
    </w:p>
    <w:p w:rsidR="00CD7A37" w:rsidRDefault="00CD7A37" w:rsidP="00CD7A37">
      <w:pPr>
        <w:spacing w:after="360"/>
        <w:jc w:val="both"/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</w:pP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Sukladno Uvjetima pružanja platnih transakcija, izdavanja elektroničkog novca i pružanja platnih usluga HT-a u javnoj pokretnoj i nepokretnoj komunikacijskoj mrež</w:t>
      </w:r>
      <w:r w:rsidR="00B35EB8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i (dalje: Uvjeti), uslugu </w:t>
      </w:r>
      <w:proofErr w:type="spellStart"/>
      <w:r w:rsidR="00B35EB8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mDoplata</w:t>
      </w:r>
      <w:proofErr w:type="spellEnd"/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mogu koristiti svi korisnici</w:t>
      </w:r>
      <w:r w:rsidRPr="00212CF3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bonova </w:t>
      </w: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HT-a</w:t>
      </w:r>
      <w:r w:rsidRPr="00212CF3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u pokretnoj javnoj komunikacijskoj mreži HT-</w:t>
      </w: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a kao imatelji</w:t>
      </w:r>
      <w:r w:rsidRPr="00212CF3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elektroničkog novca</w:t>
      </w: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i korisnici</w:t>
      </w:r>
      <w:r w:rsidRPr="00212CF3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platnih usluga povezanih s e-novcem</w:t>
      </w: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, te pretplatnici u pokretnoj </w:t>
      </w:r>
      <w:r w:rsidRPr="00212CF3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javnoj komunikacijskoj mreži HT-a kao korisn</w:t>
      </w: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ici</w:t>
      </w:r>
      <w:r w:rsidRPr="00212CF3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platnih usluga</w:t>
      </w: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(dalje: Korisnici).</w:t>
      </w:r>
    </w:p>
    <w:p w:rsidR="005B4C59" w:rsidRDefault="005B4C59" w:rsidP="00843C0F">
      <w:pPr>
        <w:numPr>
          <w:ilvl w:val="0"/>
          <w:numId w:val="2"/>
        </w:numPr>
        <w:rPr>
          <w:rFonts w:ascii="Tele-GroteskNor" w:eastAsiaTheme="majorEastAsia" w:hAnsi="Tele-GroteskNor" w:cstheme="majorBidi"/>
          <w:bCs/>
          <w:color w:val="E20074"/>
          <w:sz w:val="28"/>
          <w:szCs w:val="28"/>
        </w:rPr>
      </w:pPr>
      <w:r>
        <w:rPr>
          <w:rFonts w:ascii="Tele-GroteskNor" w:eastAsiaTheme="majorEastAsia" w:hAnsi="Tele-GroteskNor" w:cstheme="majorBidi"/>
          <w:bCs/>
          <w:color w:val="E20074"/>
          <w:sz w:val="28"/>
          <w:szCs w:val="28"/>
        </w:rPr>
        <w:t>Osobni podaci</w:t>
      </w:r>
    </w:p>
    <w:p w:rsidR="005B4C59" w:rsidRDefault="005B4C59" w:rsidP="009B47B2">
      <w:pP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</w:pPr>
      <w:r w:rsidRPr="005B4C59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Pri korištenju</w:t>
      </w: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mDoplata</w:t>
      </w:r>
      <w:proofErr w:type="spellEnd"/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usluge</w:t>
      </w:r>
      <w:r w:rsidR="009B47B2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nadoplate </w:t>
      </w:r>
      <w:r w:rsidR="0003640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virtualnog online računa K</w:t>
      </w:r>
      <w:r w:rsidR="009B47B2" w:rsidRPr="009B47B2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orisnika</w:t>
      </w:r>
      <w:r w:rsidR="009B47B2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</w:t>
      </w:r>
      <w:r w:rsidR="009B47B2" w:rsidRPr="009B47B2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vrši se p</w:t>
      </w:r>
      <w:r w:rsidR="009B47B2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rovjera mobilnog broja i OIB-a k</w:t>
      </w:r>
      <w:r w:rsidR="009B47B2" w:rsidRPr="009B47B2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orisnika te </w:t>
      </w:r>
      <w:r w:rsidR="009B47B2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se korišt</w:t>
      </w:r>
      <w:r w:rsidR="0003640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enje </w:t>
      </w:r>
      <w:proofErr w:type="spellStart"/>
      <w:r w:rsidR="0003640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mDoplata</w:t>
      </w:r>
      <w:proofErr w:type="spellEnd"/>
      <w:r w:rsidR="0003640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usluge omogućava K</w:t>
      </w:r>
      <w:r w:rsidR="009B47B2" w:rsidRPr="009B47B2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orisniku isključi</w:t>
      </w:r>
      <w:r w:rsidR="0003640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vo ako su i mobilni broj i OIB K</w:t>
      </w:r>
      <w:r w:rsidR="009B47B2" w:rsidRPr="009B47B2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orisn</w:t>
      </w:r>
      <w:r w:rsidR="009B47B2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ika registrirani kod HT-a</w:t>
      </w:r>
      <w:r w:rsidR="009B47B2" w:rsidRPr="009B47B2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istovjetni onima registriranima kod priređivača igara klađenja. Razm</w:t>
      </w:r>
      <w:r w:rsidR="009B47B2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jena podataka između HT-a</w:t>
      </w:r>
      <w:r w:rsidR="009B47B2" w:rsidRPr="009B47B2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i priređivača igara klađenja vrši se u kriptiranom formatu.</w:t>
      </w:r>
    </w:p>
    <w:p w:rsidR="009B47B2" w:rsidRPr="005B4C59" w:rsidRDefault="009B47B2" w:rsidP="009B47B2">
      <w:pP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</w:pPr>
      <w:r w:rsidRPr="009B47B2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P</w:t>
      </w:r>
      <w:r w:rsidR="00081A62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rihvaćanjem ove Specifikacije usluge</w:t>
      </w:r>
      <w:r w:rsidR="000A0DC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</w:t>
      </w:r>
      <w:proofErr w:type="spellStart"/>
      <w:r w:rsidR="000A0DC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mDoplata</w:t>
      </w:r>
      <w:proofErr w:type="spellEnd"/>
      <w:r w:rsidRPr="009B47B2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, Korisnik je upoznat s postupkom provjere podataka kako je navedeno u prethodnom stavku ovog članka.</w:t>
      </w:r>
    </w:p>
    <w:p w:rsidR="00843C0F" w:rsidRPr="00843C0F" w:rsidRDefault="005B4C59" w:rsidP="00843C0F">
      <w:pPr>
        <w:numPr>
          <w:ilvl w:val="0"/>
          <w:numId w:val="2"/>
        </w:numPr>
        <w:rPr>
          <w:rFonts w:ascii="Tele-GroteskNor" w:eastAsiaTheme="majorEastAsia" w:hAnsi="Tele-GroteskNor" w:cstheme="majorBidi"/>
          <w:bCs/>
          <w:color w:val="E20074"/>
          <w:sz w:val="28"/>
          <w:szCs w:val="28"/>
        </w:rPr>
      </w:pPr>
      <w:r>
        <w:rPr>
          <w:rFonts w:ascii="Tele-GroteskNor" w:eastAsiaTheme="majorEastAsia" w:hAnsi="Tele-GroteskNor" w:cstheme="majorBidi"/>
          <w:bCs/>
          <w:color w:val="E20074"/>
          <w:sz w:val="28"/>
          <w:szCs w:val="28"/>
        </w:rPr>
        <w:t>Cijene</w:t>
      </w:r>
    </w:p>
    <w:p w:rsidR="00CD7A37" w:rsidRDefault="00F1675F" w:rsidP="00CD7A37">
      <w:pPr>
        <w:spacing w:after="360"/>
        <w:jc w:val="both"/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</w:pP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Iznosi novčanih sredstava za nadoplatu</w:t>
      </w:r>
      <w:r w:rsidR="00843C0F" w:rsidRPr="00843C0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</w:t>
      </w: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virtualnog </w:t>
      </w:r>
      <w:r w:rsidR="00F4516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online </w:t>
      </w:r>
      <w:r w:rsidR="0003640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računa K</w:t>
      </w: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orisnika </w:t>
      </w:r>
      <w:r w:rsidR="00F4516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utvrđeni su </w:t>
      </w:r>
      <w:r w:rsidR="00F4516F" w:rsidRPr="00F4516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cjenikom </w:t>
      </w:r>
      <w:bookmarkStart w:id="1" w:name="_Hlk15284518"/>
      <w:r w:rsidR="004C50B4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pojedinog </w:t>
      </w:r>
      <w:r w:rsidR="00F4516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priređivača igara klađenja</w:t>
      </w:r>
      <w:bookmarkEnd w:id="1"/>
      <w:r w:rsidR="00F4516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.</w:t>
      </w:r>
      <w:r w:rsidR="00F4516F" w:rsidRPr="00F4516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</w:t>
      </w:r>
      <w:r w:rsidR="00843C0F" w:rsidRPr="00843C0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Cijena naknade za izvršenu plat</w:t>
      </w:r>
      <w:r w:rsidR="00B35EB8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nu transakciju za uslugu </w:t>
      </w:r>
      <w:proofErr w:type="spellStart"/>
      <w:r w:rsidR="00B35EB8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mDoplata</w:t>
      </w:r>
      <w:proofErr w:type="spellEnd"/>
      <w:r w:rsidR="00843C0F" w:rsidRPr="00843C0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utvrđena je </w:t>
      </w:r>
      <w:r w:rsidR="00CD7A37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cjenikom HT d.d. (C</w:t>
      </w:r>
      <w:r w:rsidR="00CD7A37" w:rsidRPr="00161875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jenik </w:t>
      </w:r>
      <w:r w:rsidR="00CD7A37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H</w:t>
      </w:r>
      <w:r w:rsidR="00CD7A37" w:rsidRPr="00161875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rvatskog </w:t>
      </w:r>
      <w:r w:rsidR="00CD7A37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T</w:t>
      </w:r>
      <w:r w:rsidR="00CD7A37" w:rsidRPr="00161875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elekoma d.d. za korisnike platnih </w:t>
      </w:r>
      <w:r w:rsidR="00CD7A37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transakcija). Iznos cijene usluge i n</w:t>
      </w:r>
      <w:r w:rsidR="0003640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aknada za plaćanje će teretiti K</w:t>
      </w:r>
      <w:r w:rsidR="00CD7A37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orisnikov račun samo u slučaju uspješno provedene transakcije.</w:t>
      </w:r>
    </w:p>
    <w:p w:rsidR="00843C0F" w:rsidRPr="00843C0F" w:rsidRDefault="00CF62AD" w:rsidP="00843C0F">
      <w:pPr>
        <w:numPr>
          <w:ilvl w:val="0"/>
          <w:numId w:val="2"/>
        </w:numPr>
        <w:rPr>
          <w:rFonts w:ascii="Tele-GroteskNor" w:eastAsiaTheme="majorEastAsia" w:hAnsi="Tele-GroteskNor" w:cstheme="majorBidi"/>
          <w:bCs/>
          <w:color w:val="E20074"/>
          <w:sz w:val="28"/>
          <w:szCs w:val="28"/>
        </w:rPr>
      </w:pPr>
      <w:bookmarkStart w:id="2" w:name="_Hlk15285021"/>
      <w:r>
        <w:rPr>
          <w:rFonts w:ascii="Tele-GroteskNor" w:eastAsiaTheme="majorEastAsia" w:hAnsi="Tele-GroteskNor" w:cstheme="majorBidi"/>
          <w:bCs/>
          <w:color w:val="E20074"/>
          <w:sz w:val="28"/>
          <w:szCs w:val="28"/>
        </w:rPr>
        <w:t>Plać</w:t>
      </w:r>
      <w:r w:rsidR="00CD7A37">
        <w:rPr>
          <w:rFonts w:ascii="Tele-GroteskNor" w:eastAsiaTheme="majorEastAsia" w:hAnsi="Tele-GroteskNor" w:cstheme="majorBidi"/>
          <w:bCs/>
          <w:color w:val="E20074"/>
          <w:sz w:val="28"/>
          <w:szCs w:val="28"/>
        </w:rPr>
        <w:t>anje usluge</w:t>
      </w:r>
    </w:p>
    <w:bookmarkEnd w:id="2"/>
    <w:p w:rsidR="000A0DCE" w:rsidRDefault="00843C0F" w:rsidP="000A0DCE">
      <w:pPr>
        <w:spacing w:after="360"/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</w:pPr>
      <w:r w:rsidRPr="00843C0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Kor</w:t>
      </w:r>
      <w:r w:rsidR="00F4516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isnik </w:t>
      </w:r>
      <w:r w:rsidR="004C50B4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vrši nadoplatu</w:t>
      </w:r>
      <w:r w:rsidR="003D4A55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</w:t>
      </w:r>
      <w:r w:rsidR="004C50B4" w:rsidRPr="004C50B4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virtualnog online računa </w:t>
      </w:r>
      <w:r w:rsidR="003D4A55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slanjem SMS poruke </w:t>
      </w:r>
      <w:r w:rsidR="004C50B4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s iznosom koji želi uplatiti (</w:t>
      </w:r>
      <w:r w:rsidR="001A1762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npr. 20 označava uplatu od 20</w:t>
      </w:r>
      <w:r w:rsidR="004C50B4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kn) </w:t>
      </w:r>
      <w:r w:rsidR="003D4A55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na kratke</w:t>
      </w:r>
      <w:r w:rsidR="00BE2280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kod</w:t>
      </w:r>
      <w:r w:rsidR="003D4A55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ove</w:t>
      </w:r>
      <w:r w:rsidR="004C50B4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odabranog </w:t>
      </w:r>
      <w:r w:rsidR="004C50B4" w:rsidRPr="004C50B4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priređivača igara klađenja</w:t>
      </w:r>
      <w:r w:rsidRPr="00843C0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, te u roku od dvije minute prima povratnu SMS poruku minimalno s podacima o referenciji, iznosu platne transakcije te iznos</w:t>
      </w:r>
      <w:r w:rsidR="004B598D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u</w:t>
      </w:r>
      <w:r w:rsidRPr="00843C0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naknade za tu izvršenu platnu transakciju, na svoj mobilni telefon kao potvrdu plaćanja. Nakon primanja potvrde o primitku povratne SMS poruke na mobilni telefon, HT tereti rač</w:t>
      </w:r>
      <w:r w:rsidR="0003640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un K</w:t>
      </w:r>
      <w:r w:rsidR="000A0DC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orisnika za iznos nadoplate</w:t>
      </w:r>
      <w:r w:rsidR="000A0DCE" w:rsidRPr="000A0DC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virtualnog online računa</w:t>
      </w:r>
      <w:r w:rsidR="0003640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. Ako K</w:t>
      </w:r>
      <w:r w:rsidRPr="00843C0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orisnik ne dobije povratnu SMS poruku u roku od dvije minut</w:t>
      </w:r>
      <w:r w:rsidR="003D4A55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e, </w:t>
      </w:r>
    </w:p>
    <w:p w:rsidR="000A0DCE" w:rsidRDefault="000A0DCE" w:rsidP="000A0DCE">
      <w:pPr>
        <w:spacing w:after="360"/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</w:pPr>
    </w:p>
    <w:p w:rsidR="000A0DCE" w:rsidRPr="00843C0F" w:rsidRDefault="000A0DCE" w:rsidP="0003640E">
      <w:pPr>
        <w:spacing w:after="360"/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</w:pP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nadoplata</w:t>
      </w:r>
      <w:r w:rsidRPr="000A0DC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</w:t>
      </w: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virtualnog online računa</w:t>
      </w:r>
      <w:r w:rsidR="0003640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ovom uslugom nije uspjela</w:t>
      </w:r>
      <w:r w:rsidR="00843C0F" w:rsidRPr="00843C0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, a njegov račun neće se tereti</w:t>
      </w:r>
      <w:r w:rsidR="003D4A55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ti za iznos </w:t>
      </w:r>
      <w:r w:rsidR="0003640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nadoplate. Također, račun K</w:t>
      </w:r>
      <w:r w:rsidR="00843C0F" w:rsidRPr="00843C0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orisnika neće se teretiti ni u slučaju nemogućnosti završetka transakcije, već će mu biti poslana SMS poruka kojom ga se obavještava da plaćanje nije uspjelo, te se tom porukom poništava </w:t>
      </w:r>
      <w:r w:rsidR="0003640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svaka prethodna poruka poslana K</w:t>
      </w:r>
      <w:r w:rsidR="00843C0F" w:rsidRPr="00843C0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orisniku. Naknada za izvršenu platnu transakciju bit će naplaćena odmah po uspješnom zaprimanju SMS poruke.</w:t>
      </w:r>
    </w:p>
    <w:p w:rsidR="00E65E4B" w:rsidRDefault="00E65E4B" w:rsidP="000A0DCE">
      <w:pPr>
        <w:numPr>
          <w:ilvl w:val="0"/>
          <w:numId w:val="2"/>
        </w:numPr>
        <w:spacing w:after="0"/>
        <w:rPr>
          <w:rFonts w:ascii="Tele-GroteskNor" w:eastAsiaTheme="majorEastAsia" w:hAnsi="Tele-GroteskNor" w:cstheme="majorBidi"/>
          <w:bCs/>
          <w:color w:val="E20074"/>
          <w:sz w:val="28"/>
          <w:szCs w:val="28"/>
        </w:rPr>
      </w:pPr>
      <w:bookmarkStart w:id="3" w:name="_Hlk15285032"/>
      <w:r>
        <w:rPr>
          <w:rFonts w:ascii="Tele-GroteskNor" w:eastAsiaTheme="majorEastAsia" w:hAnsi="Tele-GroteskNor" w:cstheme="majorBidi"/>
          <w:bCs/>
          <w:color w:val="E20074"/>
          <w:sz w:val="28"/>
          <w:szCs w:val="28"/>
        </w:rPr>
        <w:t>Popis kratkih kodova i naziva pojedinog priređivača igara klađenja</w:t>
      </w:r>
    </w:p>
    <w:p w:rsidR="000A0DCE" w:rsidRPr="00E65E4B" w:rsidRDefault="000A0DCE" w:rsidP="000A0DCE">
      <w:pPr>
        <w:spacing w:after="0"/>
        <w:ind w:left="360"/>
        <w:rPr>
          <w:rFonts w:ascii="Tele-GroteskNor" w:eastAsiaTheme="majorEastAsia" w:hAnsi="Tele-GroteskNor" w:cstheme="majorBidi"/>
          <w:bCs/>
          <w:color w:val="E20074"/>
          <w:sz w:val="28"/>
          <w:szCs w:val="28"/>
        </w:rPr>
      </w:pPr>
    </w:p>
    <w:p w:rsidR="00E65E4B" w:rsidRDefault="00E65E4B" w:rsidP="000A0DCE">
      <w:pPr>
        <w:spacing w:after="0"/>
        <w:ind w:left="360"/>
        <w:rPr>
          <w:rFonts w:ascii="Tele-GroteskNor" w:eastAsiaTheme="majorEastAsia" w:hAnsi="Tele-GroteskNor" w:cstheme="majorBidi"/>
          <w:bCs/>
          <w:color w:val="E20074"/>
          <w:sz w:val="28"/>
          <w:szCs w:val="28"/>
        </w:rPr>
      </w:pPr>
      <w:r w:rsidRPr="00E65E4B">
        <w:rPr>
          <w:noProof/>
        </w:rPr>
        <w:drawing>
          <wp:inline distT="0" distB="0" distL="0" distR="0">
            <wp:extent cx="2647950" cy="428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0A0DCE" w:rsidRPr="00E65E4B" w:rsidRDefault="000A0DCE" w:rsidP="000A0DCE">
      <w:pPr>
        <w:spacing w:after="0"/>
        <w:ind w:left="360"/>
        <w:rPr>
          <w:rFonts w:ascii="Tele-GroteskNor" w:eastAsiaTheme="majorEastAsia" w:hAnsi="Tele-GroteskNor" w:cstheme="majorBidi"/>
          <w:bCs/>
          <w:color w:val="E20074"/>
          <w:sz w:val="28"/>
          <w:szCs w:val="28"/>
        </w:rPr>
      </w:pPr>
    </w:p>
    <w:p w:rsidR="00E65E4B" w:rsidRPr="00E65E4B" w:rsidRDefault="00E65E4B" w:rsidP="00E65E4B">
      <w:pPr>
        <w:numPr>
          <w:ilvl w:val="0"/>
          <w:numId w:val="2"/>
        </w:numPr>
        <w:rPr>
          <w:rFonts w:ascii="Tele-GroteskNor" w:eastAsiaTheme="majorEastAsia" w:hAnsi="Tele-GroteskNor" w:cstheme="majorBidi"/>
          <w:bCs/>
          <w:color w:val="E20074"/>
          <w:sz w:val="28"/>
          <w:szCs w:val="28"/>
        </w:rPr>
      </w:pPr>
      <w:r w:rsidRPr="00E65E4B">
        <w:rPr>
          <w:rFonts w:ascii="Tele-GroteskNor" w:eastAsiaTheme="majorEastAsia" w:hAnsi="Tele-GroteskNor" w:cstheme="majorBidi"/>
          <w:bCs/>
          <w:color w:val="E20074"/>
          <w:sz w:val="28"/>
          <w:szCs w:val="28"/>
        </w:rPr>
        <w:t xml:space="preserve">Ograničenja korištenja </w:t>
      </w:r>
      <w:proofErr w:type="spellStart"/>
      <w:r w:rsidRPr="00E65E4B">
        <w:rPr>
          <w:rFonts w:ascii="Tele-GroteskNor" w:eastAsiaTheme="majorEastAsia" w:hAnsi="Tele-GroteskNor" w:cstheme="majorBidi"/>
          <w:bCs/>
          <w:color w:val="E20074"/>
          <w:sz w:val="28"/>
          <w:szCs w:val="28"/>
        </w:rPr>
        <w:t>mDoplata</w:t>
      </w:r>
      <w:proofErr w:type="spellEnd"/>
      <w:r w:rsidRPr="00E65E4B">
        <w:rPr>
          <w:rFonts w:ascii="Tele-GroteskNor" w:eastAsiaTheme="majorEastAsia" w:hAnsi="Tele-GroteskNor" w:cstheme="majorBidi"/>
          <w:bCs/>
          <w:color w:val="E20074"/>
          <w:sz w:val="28"/>
          <w:szCs w:val="28"/>
        </w:rPr>
        <w:t xml:space="preserve"> usluge </w:t>
      </w:r>
    </w:p>
    <w:p w:rsidR="003D4A55" w:rsidRPr="00E65E4B" w:rsidRDefault="00B35EB8" w:rsidP="00E65E4B">
      <w:pPr>
        <w:pStyle w:val="ListParagraph"/>
        <w:spacing w:after="360"/>
        <w:ind w:left="360"/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</w:pPr>
      <w:r w:rsidRPr="00E65E4B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Za korištenje </w:t>
      </w:r>
      <w:proofErr w:type="spellStart"/>
      <w:r w:rsidRPr="00E65E4B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mDoplata</w:t>
      </w:r>
      <w:proofErr w:type="spellEnd"/>
      <w:r w:rsidR="00843C0F" w:rsidRPr="00E65E4B" w:rsidDel="00A1443A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</w:t>
      </w:r>
      <w:r w:rsidR="00843C0F" w:rsidRPr="00E65E4B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usluge utvrđeni su sljedeći limiti:</w:t>
      </w:r>
    </w:p>
    <w:p w:rsidR="00F4516F" w:rsidRPr="00F4516F" w:rsidRDefault="00F4516F" w:rsidP="00F4516F">
      <w:pPr>
        <w:numPr>
          <w:ilvl w:val="0"/>
          <w:numId w:val="1"/>
        </w:numP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</w:pP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Najniži iznos  pojedinačne transakcije je 1</w:t>
      </w:r>
      <w:r w:rsidRPr="00F4516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0 kn, uključujući PDV;</w:t>
      </w:r>
    </w:p>
    <w:p w:rsidR="00843C0F" w:rsidRPr="00843C0F" w:rsidRDefault="00843C0F" w:rsidP="00843C0F">
      <w:pPr>
        <w:numPr>
          <w:ilvl w:val="0"/>
          <w:numId w:val="1"/>
        </w:numP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</w:pPr>
      <w:r w:rsidRPr="00843C0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Najveći izn</w:t>
      </w:r>
      <w:r w:rsidR="00F4516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os </w:t>
      </w:r>
      <w:bookmarkStart w:id="4" w:name="_Hlk15284333"/>
      <w:r w:rsidR="00F4516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pojedinačne transakcije je 5</w:t>
      </w:r>
      <w:r w:rsidRPr="00843C0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0 kn, uključujući PDV</w:t>
      </w:r>
      <w:r w:rsidR="00AD38D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;</w:t>
      </w:r>
    </w:p>
    <w:bookmarkEnd w:id="4"/>
    <w:p w:rsidR="00843C0F" w:rsidRDefault="00843C0F" w:rsidP="00843C0F">
      <w:pPr>
        <w:numPr>
          <w:ilvl w:val="0"/>
          <w:numId w:val="1"/>
        </w:numP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</w:pPr>
      <w:r w:rsidRPr="00BE2280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Mjes</w:t>
      </w:r>
      <w:r w:rsidR="003D4A55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ečno ograničenje po SIM kartici korisnika iznosi</w:t>
      </w:r>
      <w:r w:rsidRPr="00BE2280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500 kn, uključujući PDV. </w:t>
      </w:r>
    </w:p>
    <w:p w:rsidR="006133D6" w:rsidRPr="00BE2280" w:rsidRDefault="006133D6" w:rsidP="006133D6">
      <w:pP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</w:pP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Usluga </w:t>
      </w:r>
      <w:proofErr w:type="spellStart"/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mDoplata</w:t>
      </w:r>
      <w:proofErr w:type="spellEnd"/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nije</w:t>
      </w:r>
      <w:r w:rsidR="00015C52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</w:t>
      </w:r>
      <w:r w:rsidR="0003640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dostupna poslovnim k</w:t>
      </w:r>
      <w:r w:rsidR="004B598D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orisnicima koji nemaju ugovoren privatan dio računa, maloljetnim osobama ka</w:t>
      </w:r>
      <w:r w:rsidR="0003640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o niti neregistriranim </w:t>
      </w:r>
      <w:proofErr w:type="spellStart"/>
      <w:r w:rsidR="0003640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prepaid</w:t>
      </w:r>
      <w:proofErr w:type="spellEnd"/>
      <w:r w:rsidR="0003640E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k</w:t>
      </w:r>
      <w:r w:rsidR="004B598D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orisnicima.</w:t>
      </w:r>
    </w:p>
    <w:p w:rsidR="00843C0F" w:rsidRDefault="00843C0F" w:rsidP="00843C0F">
      <w:pP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</w:pPr>
      <w:r w:rsidRPr="00843C0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HT zadržava pravo izmijeniti gore navedena ograničenja korištenja usluge i/ili dodati nova ograničenja i/ili ukinuti postojeća ograničenja, o čemu će obavijestiti Korisnike i javno objaviti izmjene sukladno Uvjetima. </w:t>
      </w:r>
    </w:p>
    <w:p w:rsidR="00CD7A37" w:rsidRPr="003D4A55" w:rsidRDefault="003D4A55" w:rsidP="003D4A55">
      <w:pPr>
        <w:pStyle w:val="ListParagraph"/>
        <w:numPr>
          <w:ilvl w:val="0"/>
          <w:numId w:val="2"/>
        </w:numPr>
        <w:spacing w:after="360"/>
        <w:rPr>
          <w:rFonts w:ascii="Tele-GroteskNor" w:eastAsiaTheme="majorEastAsia" w:hAnsi="Tele-GroteskNor" w:cstheme="majorBidi"/>
          <w:bCs/>
          <w:color w:val="E20074"/>
          <w:sz w:val="28"/>
          <w:szCs w:val="28"/>
        </w:rPr>
      </w:pPr>
      <w:r>
        <w:rPr>
          <w:rFonts w:ascii="Tele-GroteskNor" w:eastAsiaTheme="majorEastAsia" w:hAnsi="Tele-GroteskNor" w:cstheme="majorBidi"/>
          <w:bCs/>
          <w:color w:val="E20074"/>
          <w:sz w:val="28"/>
          <w:szCs w:val="28"/>
        </w:rPr>
        <w:t>Mogućnost deaktivacije usluge</w:t>
      </w:r>
    </w:p>
    <w:p w:rsidR="003D4A55" w:rsidRDefault="003D4A55" w:rsidP="003D4A55">
      <w:pPr>
        <w:spacing w:after="360"/>
        <w:jc w:val="both"/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</w:pP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Sukladno Uvjetima Korisnik </w:t>
      </w:r>
      <w:r w:rsidRPr="00843C0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može</w:t>
      </w:r>
      <w:r w:rsidR="00F1675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deaktivirati uslugu </w:t>
      </w:r>
      <w:proofErr w:type="spellStart"/>
      <w:r w:rsidR="00F1675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mDoplata</w:t>
      </w:r>
      <w:proofErr w:type="spellEnd"/>
      <w:r w:rsidRPr="00843C0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, čime mu neće biti omogućeno korištenje iste</w:t>
      </w: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</w:t>
      </w:r>
      <w:r w:rsidRPr="00843C0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dok ju ponovo ne zatraži. HT poslovni korisnik platnih usluga može iskoristiti opcij</w:t>
      </w:r>
      <w:r w:rsidR="00F1675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u zabrane korištenja </w:t>
      </w:r>
      <w:proofErr w:type="spellStart"/>
      <w:r w:rsidR="00F1675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mDoplata</w:t>
      </w:r>
      <w:proofErr w:type="spellEnd"/>
      <w:r w:rsidRPr="00843C0F" w:rsidDel="00A1443A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 </w:t>
      </w:r>
      <w:r w:rsidRPr="00843C0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platne usluge za sve ili pojedine priključke na svom korisničkom računu, te će u tom slučaju svim ili pojedinim priključcima na tom korisničkom računu biti onemogućeno kori</w:t>
      </w:r>
      <w:r w:rsidR="00F1675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štenje usluge </w:t>
      </w:r>
      <w:proofErr w:type="spellStart"/>
      <w:r w:rsidR="00F1675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mDoplata</w:t>
      </w:r>
      <w:proofErr w:type="spellEnd"/>
      <w:r w:rsidRPr="00843C0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. </w:t>
      </w:r>
    </w:p>
    <w:p w:rsidR="0003640E" w:rsidRPr="00843C0F" w:rsidRDefault="0003640E" w:rsidP="003D4A55">
      <w:pPr>
        <w:spacing w:after="360"/>
        <w:jc w:val="both"/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</w:pPr>
      <w:bookmarkStart w:id="5" w:name="_GoBack"/>
      <w:bookmarkEnd w:id="5"/>
    </w:p>
    <w:p w:rsidR="003D4A55" w:rsidRPr="00843C0F" w:rsidRDefault="003D4A55" w:rsidP="003D4A55">
      <w:pPr>
        <w:jc w:val="both"/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</w:pP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O</w:t>
      </w:r>
      <w:r w:rsidRPr="00843C0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 xml:space="preserve">va Specifikacija čini sastavni dio </w:t>
      </w: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Okvirnog u</w:t>
      </w:r>
      <w:r w:rsidRPr="00843C0F"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govora o izdavanju e-novca i pružanja platnih uslug</w:t>
      </w:r>
      <w: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  <w:t>a koji Korisnik sklapa s HT-om na način definiran u Uvjetima.</w:t>
      </w:r>
    </w:p>
    <w:p w:rsidR="00843C0F" w:rsidRPr="00843C0F" w:rsidRDefault="00843C0F">
      <w:pPr>
        <w:rPr>
          <w:rFonts w:ascii="Tele-GroteskNor" w:eastAsia="Times New Roman" w:hAnsi="Tele-GroteskNor" w:cs="Tele-GroteskEENor"/>
          <w:color w:val="000000"/>
          <w:sz w:val="24"/>
          <w:szCs w:val="24"/>
          <w:lang w:eastAsia="hr-HR"/>
        </w:rPr>
      </w:pPr>
    </w:p>
    <w:sectPr w:rsidR="00843C0F" w:rsidRPr="00843C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4F3" w:rsidRDefault="003144F3" w:rsidP="00AD6E1B">
      <w:pPr>
        <w:spacing w:after="0" w:line="240" w:lineRule="auto"/>
      </w:pPr>
      <w:r>
        <w:separator/>
      </w:r>
    </w:p>
  </w:endnote>
  <w:endnote w:type="continuationSeparator" w:id="0">
    <w:p w:rsidR="003144F3" w:rsidRDefault="003144F3" w:rsidP="00AD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ele-GroteskNor">
    <w:altName w:val="Times New Roman"/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Tele-GroteskEENor">
    <w:altName w:val="Times New Roman"/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4F3" w:rsidRDefault="003144F3" w:rsidP="00AD6E1B">
      <w:pPr>
        <w:spacing w:after="0" w:line="240" w:lineRule="auto"/>
      </w:pPr>
      <w:r>
        <w:separator/>
      </w:r>
    </w:p>
  </w:footnote>
  <w:footnote w:type="continuationSeparator" w:id="0">
    <w:p w:rsidR="003144F3" w:rsidRDefault="003144F3" w:rsidP="00AD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52" w:rsidRDefault="00015C52">
    <w:pPr>
      <w:pStyle w:val="Header"/>
    </w:pPr>
    <w:r w:rsidRPr="00AD6E1B"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8F0BE4" wp14:editId="51C82AE4">
              <wp:simplePos x="0" y="0"/>
              <wp:positionH relativeFrom="column">
                <wp:posOffset>-213995</wp:posOffset>
              </wp:positionH>
              <wp:positionV relativeFrom="paragraph">
                <wp:posOffset>-135255</wp:posOffset>
              </wp:positionV>
              <wp:extent cx="6341989" cy="396000"/>
              <wp:effectExtent l="0" t="0" r="1905" b="4445"/>
              <wp:wrapNone/>
              <wp:docPr id="8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1989" cy="396000"/>
                        <a:chOff x="0" y="0"/>
                        <a:chExt cx="6341989" cy="396000"/>
                      </a:xfrm>
                    </wpg:grpSpPr>
                    <pic:pic xmlns:pic="http://schemas.openxmlformats.org/drawingml/2006/picture">
                      <pic:nvPicPr>
                        <pic:cNvPr id="2" name="Picture 2" descr="T_Logo_3c_Slogan_p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r="60122"/>
                        <a:stretch>
                          <a:fillRect/>
                        </a:stretch>
                      </pic:blipFill>
                      <pic:spPr bwMode="black">
                        <a:xfrm>
                          <a:off x="0" y="0"/>
                          <a:ext cx="941389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3" descr="T_Logo_3c_Slogan_p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50113"/>
                        <a:stretch>
                          <a:fillRect/>
                        </a:stretch>
                      </pic:blipFill>
                      <pic:spPr bwMode="black">
                        <a:xfrm>
                          <a:off x="5164304" y="0"/>
                          <a:ext cx="1177685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250455" id="Group 7" o:spid="_x0000_s1026" style="position:absolute;margin-left:-16.85pt;margin-top:-10.65pt;width:499.35pt;height:31.2pt;z-index:251659264" coordsize="63419,3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T_Logo_3c_Slogan_p_HR" style="position:absolute;width:9413;height:3960;visibility:visible;mso-wrap-style:square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">
                <v:imagedata r:id="rId2" o:title="T_Logo_3c_Slogan_p_HR" cropright="39402f"/>
              </v:shape>
              <v:shape id="Picture 3" o:spid="_x0000_s1028" type="#_x0000_t75" alt="T_Logo_3c_Slogan_p_HR" style="position:absolute;left:51643;width:11776;height:3960;visibility:visible;mso-wrap-style:square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">
                <v:imagedata r:id="rId2" o:title="T_Logo_3c_Slogan_p_HR" cropleft="32842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7151F"/>
    <w:multiLevelType w:val="hybridMultilevel"/>
    <w:tmpl w:val="844269D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BA740F"/>
    <w:multiLevelType w:val="hybridMultilevel"/>
    <w:tmpl w:val="8CE22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1B"/>
    <w:rsid w:val="00015C52"/>
    <w:rsid w:val="00017B78"/>
    <w:rsid w:val="0003640E"/>
    <w:rsid w:val="00081A62"/>
    <w:rsid w:val="0009365B"/>
    <w:rsid w:val="000A0DCE"/>
    <w:rsid w:val="000A4D38"/>
    <w:rsid w:val="000E2D8B"/>
    <w:rsid w:val="001229F0"/>
    <w:rsid w:val="00125D9C"/>
    <w:rsid w:val="001578B2"/>
    <w:rsid w:val="001A1762"/>
    <w:rsid w:val="001B0D12"/>
    <w:rsid w:val="00207069"/>
    <w:rsid w:val="00226EBB"/>
    <w:rsid w:val="00234EDC"/>
    <w:rsid w:val="00284F14"/>
    <w:rsid w:val="002F5ADB"/>
    <w:rsid w:val="003144F3"/>
    <w:rsid w:val="00316A46"/>
    <w:rsid w:val="003477A8"/>
    <w:rsid w:val="00377DE6"/>
    <w:rsid w:val="003D4A55"/>
    <w:rsid w:val="00446683"/>
    <w:rsid w:val="00470A9A"/>
    <w:rsid w:val="004B598D"/>
    <w:rsid w:val="004C50B4"/>
    <w:rsid w:val="00533783"/>
    <w:rsid w:val="005754E2"/>
    <w:rsid w:val="005B4C59"/>
    <w:rsid w:val="005D5BEF"/>
    <w:rsid w:val="0060680A"/>
    <w:rsid w:val="006133D6"/>
    <w:rsid w:val="00654DAA"/>
    <w:rsid w:val="00676C7F"/>
    <w:rsid w:val="006D76BA"/>
    <w:rsid w:val="006E0883"/>
    <w:rsid w:val="0073145C"/>
    <w:rsid w:val="00740AD7"/>
    <w:rsid w:val="00766B96"/>
    <w:rsid w:val="00772B74"/>
    <w:rsid w:val="007A6B56"/>
    <w:rsid w:val="007D685D"/>
    <w:rsid w:val="00821086"/>
    <w:rsid w:val="00843C0F"/>
    <w:rsid w:val="00846DE7"/>
    <w:rsid w:val="008506E0"/>
    <w:rsid w:val="00857683"/>
    <w:rsid w:val="009B47B2"/>
    <w:rsid w:val="009D3163"/>
    <w:rsid w:val="00A45B20"/>
    <w:rsid w:val="00A70A0E"/>
    <w:rsid w:val="00AB54AA"/>
    <w:rsid w:val="00AD38DF"/>
    <w:rsid w:val="00AD6E1B"/>
    <w:rsid w:val="00AD7FCB"/>
    <w:rsid w:val="00AE6068"/>
    <w:rsid w:val="00B35EB8"/>
    <w:rsid w:val="00B4298D"/>
    <w:rsid w:val="00BE2280"/>
    <w:rsid w:val="00CB0FA7"/>
    <w:rsid w:val="00CD7A37"/>
    <w:rsid w:val="00CF62AD"/>
    <w:rsid w:val="00D31552"/>
    <w:rsid w:val="00D603D1"/>
    <w:rsid w:val="00D63927"/>
    <w:rsid w:val="00D6399F"/>
    <w:rsid w:val="00DF18FC"/>
    <w:rsid w:val="00E65E4B"/>
    <w:rsid w:val="00E67396"/>
    <w:rsid w:val="00EA0640"/>
    <w:rsid w:val="00EE1AD7"/>
    <w:rsid w:val="00F1675F"/>
    <w:rsid w:val="00F4516F"/>
    <w:rsid w:val="00FE17E2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5145"/>
  <w15:docId w15:val="{28669526-2561-45BA-83F5-E7253267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1B"/>
  </w:style>
  <w:style w:type="paragraph" w:styleId="Footer">
    <w:name w:val="footer"/>
    <w:basedOn w:val="Normal"/>
    <w:link w:val="FooterChar"/>
    <w:uiPriority w:val="99"/>
    <w:unhideWhenUsed/>
    <w:rsid w:val="00AD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1B"/>
  </w:style>
  <w:style w:type="paragraph" w:styleId="FootnoteText">
    <w:name w:val="footnote text"/>
    <w:basedOn w:val="Normal"/>
    <w:link w:val="FootnoteTextChar"/>
    <w:uiPriority w:val="99"/>
    <w:semiHidden/>
    <w:unhideWhenUsed/>
    <w:rsid w:val="00843C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C0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3C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38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954C-5FBC-4B19-BBDC-55259E53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aportner</dc:creator>
  <cp:lastModifiedBy>Dijana Filko</cp:lastModifiedBy>
  <cp:revision>2</cp:revision>
  <cp:lastPrinted>2015-10-23T09:25:00Z</cp:lastPrinted>
  <dcterms:created xsi:type="dcterms:W3CDTF">2019-07-29T12:19:00Z</dcterms:created>
  <dcterms:modified xsi:type="dcterms:W3CDTF">2019-07-29T12:19:00Z</dcterms:modified>
</cp:coreProperties>
</file>